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Dispositif Géase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Groupe d'entraînement à l’analyse de situations éducatives</w:t>
      </w:r>
    </w:p>
    <w:p w:rsidR="00000000" w:rsidDel="00000000" w:rsidP="00000000" w:rsidRDefault="00000000" w:rsidRPr="00000000" w14:paraId="00000003">
      <w:pPr>
        <w:rPr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i w:val="1"/>
          <w:sz w:val="32"/>
          <w:szCs w:val="32"/>
          <w:u w:val="single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Règles : non jugement, confidentialité, adhésion au dispositif (volontariat, assiduité), écoute active (pas d’aparté, pas d’écran)</w:t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1- Choix de la situation</w:t>
      </w:r>
    </w:p>
    <w:p w:rsidR="00000000" w:rsidDel="00000000" w:rsidP="00000000" w:rsidRDefault="00000000" w:rsidRPr="00000000" w14:paraId="00000007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2- Présentation de la situation par le narrateur (10 min)</w:t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Puis le narrateur formule la question qu’il se 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3- Recueil d’informations complémentaires. Questionnement factuel (30 min)</w:t>
      </w:r>
    </w:p>
    <w:p w:rsidR="00000000" w:rsidDel="00000000" w:rsidP="00000000" w:rsidRDefault="00000000" w:rsidRPr="00000000" w14:paraId="0000000C">
      <w:pPr>
        <w:jc w:val="both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Le narrateur est en droit de ne pas répondre à certaines questions. A la fin de cette phase de questionnement, le narrateur peut reformuler sa question.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4- Phase d’élaboration d’hypothèses (30 min)</w:t>
      </w:r>
    </w:p>
    <w:p w:rsidR="00000000" w:rsidDel="00000000" w:rsidP="00000000" w:rsidRDefault="00000000" w:rsidRPr="00000000" w14:paraId="0000000F">
      <w:pPr>
        <w:jc w:val="both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Les participants formulent et commencent obligatoirement leurs phrase par : </w:t>
      </w:r>
    </w:p>
    <w:p w:rsidR="00000000" w:rsidDel="00000000" w:rsidP="00000000" w:rsidRDefault="00000000" w:rsidRPr="00000000" w14:paraId="00000010">
      <w:pPr>
        <w:jc w:val="both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ab/>
      </w:r>
      <w:r w:rsidDel="00000000" w:rsidR="00000000" w:rsidRPr="00000000">
        <w:rPr>
          <w:sz w:val="32"/>
          <w:szCs w:val="32"/>
          <w:rtl w:val="0"/>
        </w:rPr>
        <w:t xml:space="preserve">&gt; </w:t>
      </w:r>
      <w:r w:rsidDel="00000000" w:rsidR="00000000" w:rsidRPr="00000000">
        <w:rPr>
          <w:b w:val="1"/>
          <w:sz w:val="32"/>
          <w:szCs w:val="32"/>
          <w:rtl w:val="0"/>
        </w:rPr>
        <w:t xml:space="preserve">des hypothèses de compréhension </w:t>
      </w:r>
      <w:r w:rsidDel="00000000" w:rsidR="00000000" w:rsidRPr="00000000">
        <w:rPr>
          <w:sz w:val="32"/>
          <w:szCs w:val="32"/>
          <w:rtl w:val="0"/>
        </w:rPr>
        <w:t xml:space="preserve">(sur la situation, par sur la personne) :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“Moi, ce que je comprends de la situation, c’est ...”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&gt; </w:t>
      </w:r>
      <w:r w:rsidDel="00000000" w:rsidR="00000000" w:rsidRPr="00000000">
        <w:rPr>
          <w:b w:val="1"/>
          <w:sz w:val="32"/>
          <w:szCs w:val="32"/>
          <w:rtl w:val="0"/>
        </w:rPr>
        <w:t xml:space="preserve">des propositions s’appuyant sur des expériences vécues</w:t>
      </w:r>
      <w:r w:rsidDel="00000000" w:rsidR="00000000" w:rsidRPr="00000000">
        <w:rPr>
          <w:sz w:val="32"/>
          <w:szCs w:val="32"/>
          <w:rtl w:val="0"/>
        </w:rPr>
        <w:t xml:space="preserve"> (résonance) : </w:t>
      </w:r>
      <w:r w:rsidDel="00000000" w:rsidR="00000000" w:rsidRPr="00000000">
        <w:rPr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“Moi, ce que ça m’évoque de ma pratique, c’est 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&gt; </w:t>
      </w:r>
      <w:r w:rsidDel="00000000" w:rsidR="00000000" w:rsidRPr="00000000">
        <w:rPr>
          <w:b w:val="1"/>
          <w:sz w:val="32"/>
          <w:szCs w:val="32"/>
          <w:rtl w:val="0"/>
        </w:rPr>
        <w:t xml:space="preserve">des propositions d'actions</w:t>
      </w:r>
      <w:r w:rsidDel="00000000" w:rsidR="00000000" w:rsidRPr="00000000">
        <w:rPr>
          <w:sz w:val="32"/>
          <w:szCs w:val="32"/>
          <w:rtl w:val="0"/>
        </w:rPr>
        <w:t xml:space="preserve"> (et non des conseils) : 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“Pour moi, ce qui pourrait être fait, c’est 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5- La parole revient au narrateur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6- Clôture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Analyse de pratiques professionnelles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