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40" w:lineRule="auto"/>
        <w:jc w:val="center"/>
        <w:rPr>
          <w:b w:val="1"/>
          <w:color w:val="595959"/>
          <w:sz w:val="34"/>
          <w:szCs w:val="34"/>
        </w:rPr>
      </w:pPr>
      <w:r w:rsidDel="00000000" w:rsidR="00000000" w:rsidRPr="00000000">
        <w:rPr>
          <w:b w:val="1"/>
          <w:color w:val="595959"/>
          <w:sz w:val="34"/>
          <w:szCs w:val="34"/>
          <w:rtl w:val="0"/>
        </w:rPr>
        <w:t xml:space="preserve">La formulation des relances dans l’entretien</w:t>
      </w:r>
    </w:p>
    <w:p w:rsidR="00000000" w:rsidDel="00000000" w:rsidP="00000000" w:rsidRDefault="00000000" w:rsidRPr="00000000" w14:paraId="00000003">
      <w:pPr>
        <w:widowControl w:val="0"/>
        <w:spacing w:after="240" w:lineRule="auto"/>
        <w:jc w:val="both"/>
        <w:rPr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2"/>
          <w:szCs w:val="22"/>
          <w:rtl w:val="0"/>
        </w:rPr>
        <w:t xml:space="preserve">→ E</w:t>
      </w:r>
      <w:r w:rsidDel="00000000" w:rsidR="00000000" w:rsidRPr="00000000">
        <w:rPr>
          <w:b w:val="1"/>
          <w:sz w:val="22"/>
          <w:szCs w:val="22"/>
          <w:rtl w:val="0"/>
        </w:rPr>
        <w:t xml:space="preserve">ncourager la description du déroulement de l’action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4">
      <w:pPr>
        <w:widowControl w:val="0"/>
        <w:spacing w:after="24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24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stratégiquement La description du déroulement temporel</w:t>
      </w:r>
    </w:p>
    <w:p w:rsidR="00000000" w:rsidDel="00000000" w:rsidP="00000000" w:rsidRDefault="00000000" w:rsidRPr="00000000" w14:paraId="00000006">
      <w:pPr>
        <w:widowControl w:val="0"/>
        <w:spacing w:after="24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« Par quoi avez-vous commencé? » «Qu’avez-vous fait en premier?», « Quel était le point de départ de votre action ? », «Que s’est-il passé d’abord?», « Comment avez-vous identifié le problème qui était à résoudre?» </w:t>
      </w:r>
    </w:p>
    <w:p w:rsidR="00000000" w:rsidDel="00000000" w:rsidP="00000000" w:rsidRDefault="00000000" w:rsidRPr="00000000" w14:paraId="00000007">
      <w:pPr>
        <w:widowControl w:val="0"/>
        <w:spacing w:after="24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« Qu’avez- vous fait </w:t>
      </w:r>
      <w:r w:rsidDel="00000000" w:rsidR="00000000" w:rsidRPr="00000000">
        <w:rPr>
          <w:b w:val="1"/>
          <w:sz w:val="22"/>
          <w:szCs w:val="22"/>
          <w:rtl w:val="0"/>
        </w:rPr>
        <w:t xml:space="preserve">ensuite </w:t>
      </w:r>
      <w:r w:rsidDel="00000000" w:rsidR="00000000" w:rsidRPr="00000000">
        <w:rPr>
          <w:sz w:val="22"/>
          <w:szCs w:val="22"/>
          <w:rtl w:val="0"/>
        </w:rPr>
        <w:t xml:space="preserve">? », «Et puis après, qu’avez-vous fait?», «Et juste après, qu’avez-vous pris en compte?»</w:t>
      </w:r>
    </w:p>
    <w:p w:rsidR="00000000" w:rsidDel="00000000" w:rsidP="00000000" w:rsidRDefault="00000000" w:rsidRPr="00000000" w14:paraId="00000008">
      <w:pPr>
        <w:widowControl w:val="0"/>
        <w:spacing w:after="24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</w:t>
      </w:r>
      <w:r w:rsidDel="00000000" w:rsidR="00000000" w:rsidRPr="00000000">
        <w:rPr>
          <w:b w:val="1"/>
          <w:sz w:val="22"/>
          <w:szCs w:val="22"/>
          <w:rtl w:val="0"/>
        </w:rPr>
        <w:t xml:space="preserve">La fin</w:t>
      </w:r>
      <w:r w:rsidDel="00000000" w:rsidR="00000000" w:rsidRPr="00000000">
        <w:rPr>
          <w:sz w:val="22"/>
          <w:szCs w:val="22"/>
          <w:rtl w:val="0"/>
        </w:rPr>
        <w:t xml:space="preserve"> de l’action: « Que s’est-il passé à la fin ? »,« Par quoi avez-vous terminé? », «Qu’avez-vous fait en dernier?», «Comment saviez-vous que c’était terminé?»,« Comment saviez-vous qu’il n’y avait plus rien à faire? »</w:t>
      </w:r>
    </w:p>
    <w:p w:rsidR="00000000" w:rsidDel="00000000" w:rsidP="00000000" w:rsidRDefault="00000000" w:rsidRPr="00000000" w14:paraId="00000009">
      <w:pPr>
        <w:widowControl w:val="0"/>
        <w:spacing w:after="24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240" w:lineRule="auto"/>
        <w:jc w:val="both"/>
        <w:rPr>
          <w:i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Vigilance Éviter les « pourquoi ? » </w:t>
      </w:r>
      <w:r w:rsidDel="00000000" w:rsidR="00000000" w:rsidRPr="00000000">
        <w:rPr>
          <w:i w:val="1"/>
          <w:sz w:val="22"/>
          <w:szCs w:val="22"/>
          <w:rtl w:val="0"/>
        </w:rPr>
        <w:t xml:space="preserve">(ils peuvent être vécus comme intrusifs).</w:t>
      </w:r>
    </w:p>
    <w:p w:rsidR="00000000" w:rsidDel="00000000" w:rsidP="00000000" w:rsidRDefault="00000000" w:rsidRPr="00000000" w14:paraId="0000000B">
      <w:pPr>
        <w:widowControl w:val="0"/>
        <w:spacing w:after="240" w:lineRule="auto"/>
        <w:jc w:val="both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Concrètement A partir des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perceptions </w:t>
      </w:r>
      <w:r w:rsidDel="00000000" w:rsidR="00000000" w:rsidRPr="00000000">
        <w:rPr>
          <w:i w:val="1"/>
          <w:sz w:val="22"/>
          <w:szCs w:val="22"/>
          <w:rtl w:val="0"/>
        </w:rPr>
        <w:t xml:space="preserve">(vision, proprioceptions, audition, goût) et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aperceptions </w:t>
      </w:r>
      <w:r w:rsidDel="00000000" w:rsidR="00000000" w:rsidRPr="00000000">
        <w:rPr>
          <w:i w:val="1"/>
          <w:sz w:val="22"/>
          <w:szCs w:val="22"/>
          <w:rtl w:val="0"/>
        </w:rPr>
        <w:t xml:space="preserve">(je me disais, j’évoquais… image visuelle, auditive).</w:t>
      </w:r>
    </w:p>
    <w:p w:rsidR="00000000" w:rsidDel="00000000" w:rsidP="00000000" w:rsidRDefault="00000000" w:rsidRPr="00000000" w14:paraId="0000000C">
      <w:pPr>
        <w:widowControl w:val="0"/>
        <w:spacing w:after="24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Privilégier l’expression des « </w:t>
      </w:r>
      <w:r w:rsidDel="00000000" w:rsidR="00000000" w:rsidRPr="00000000">
        <w:rPr>
          <w:b w:val="1"/>
          <w:sz w:val="22"/>
          <w:szCs w:val="22"/>
          <w:rtl w:val="0"/>
        </w:rPr>
        <w:t xml:space="preserve">quoi </w:t>
      </w:r>
      <w:r w:rsidDel="00000000" w:rsidR="00000000" w:rsidRPr="00000000">
        <w:rPr>
          <w:sz w:val="22"/>
          <w:szCs w:val="22"/>
          <w:rtl w:val="0"/>
        </w:rPr>
        <w:t xml:space="preserve">», des « </w:t>
      </w:r>
      <w:r w:rsidDel="00000000" w:rsidR="00000000" w:rsidRPr="00000000">
        <w:rPr>
          <w:b w:val="1"/>
          <w:sz w:val="22"/>
          <w:szCs w:val="22"/>
          <w:rtl w:val="0"/>
        </w:rPr>
        <w:t xml:space="preserve">qu’est-ce que</w:t>
      </w:r>
      <w:r w:rsidDel="00000000" w:rsidR="00000000" w:rsidRPr="00000000">
        <w:rPr>
          <w:sz w:val="22"/>
          <w:szCs w:val="22"/>
          <w:rtl w:val="0"/>
        </w:rPr>
        <w:t xml:space="preserve"> », « </w:t>
      </w:r>
      <w:r w:rsidDel="00000000" w:rsidR="00000000" w:rsidRPr="00000000">
        <w:rPr>
          <w:b w:val="1"/>
          <w:sz w:val="22"/>
          <w:szCs w:val="22"/>
          <w:rtl w:val="0"/>
        </w:rPr>
        <w:t xml:space="preserve">où </w:t>
      </w:r>
      <w:r w:rsidDel="00000000" w:rsidR="00000000" w:rsidRPr="00000000">
        <w:rPr>
          <w:sz w:val="22"/>
          <w:szCs w:val="22"/>
          <w:rtl w:val="0"/>
        </w:rPr>
        <w:t xml:space="preserve">», « </w:t>
      </w:r>
      <w:r w:rsidDel="00000000" w:rsidR="00000000" w:rsidRPr="00000000">
        <w:rPr>
          <w:b w:val="1"/>
          <w:sz w:val="22"/>
          <w:szCs w:val="22"/>
          <w:rtl w:val="0"/>
        </w:rPr>
        <w:t xml:space="preserve">quand </w:t>
      </w:r>
      <w:r w:rsidDel="00000000" w:rsidR="00000000" w:rsidRPr="00000000">
        <w:rPr>
          <w:sz w:val="22"/>
          <w:szCs w:val="22"/>
          <w:rtl w:val="0"/>
        </w:rPr>
        <w:t xml:space="preserve">». </w:t>
      </w:r>
    </w:p>
    <w:p w:rsidR="00000000" w:rsidDel="00000000" w:rsidP="00000000" w:rsidRDefault="00000000" w:rsidRPr="00000000" w14:paraId="0000000D">
      <w:pPr>
        <w:widowControl w:val="0"/>
        <w:spacing w:after="24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Toutes les formes du « comment »</w:t>
      </w:r>
      <w:r w:rsidDel="00000000" w:rsidR="00000000" w:rsidRPr="00000000">
        <w:rPr>
          <w:sz w:val="22"/>
          <w:szCs w:val="22"/>
          <w:rtl w:val="0"/>
        </w:rPr>
        <w:t xml:space="preserve"> seront utilisées : - « Comment savais-tu que c’était difficile » - « Comment as-tu vu que c’était simple » - « Qu’est-ce que tu as fait après ».</w:t>
      </w:r>
    </w:p>
    <w:p w:rsidR="00000000" w:rsidDel="00000000" w:rsidP="00000000" w:rsidRDefault="00000000" w:rsidRPr="00000000" w14:paraId="0000000E">
      <w:pPr>
        <w:widowControl w:val="0"/>
        <w:spacing w:after="24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24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Reprise exacte des propos de l’autre (y compris dénégations)</w:t>
      </w:r>
      <w:r w:rsidDel="00000000" w:rsidR="00000000" w:rsidRPr="00000000">
        <w:rPr>
          <w:sz w:val="22"/>
          <w:szCs w:val="22"/>
          <w:rtl w:val="0"/>
        </w:rPr>
        <w:t xml:space="preserve">. « A quoi, tu sais que.. ? », « Comment tu sais que … ? », « A quoi, tu reconnais que … ? », « Qu’est-ce qui te fait penser que .. ? », « Qu’as-tu mis en place … ? »</w:t>
      </w:r>
    </w:p>
    <w:p w:rsidR="00000000" w:rsidDel="00000000" w:rsidP="00000000" w:rsidRDefault="00000000" w:rsidRPr="00000000" w14:paraId="00000010">
      <w:pPr>
        <w:widowControl w:val="0"/>
        <w:spacing w:after="24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 la réponse « Je ne sais rien » répondre « Et quand tu ne sais rien, qu’est-ce que tu fais ? »</w:t>
      </w:r>
    </w:p>
    <w:p w:rsidR="00000000" w:rsidDel="00000000" w:rsidP="00000000" w:rsidRDefault="00000000" w:rsidRPr="00000000" w14:paraId="00000011">
      <w:pPr>
        <w:widowControl w:val="0"/>
        <w:spacing w:after="24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Les relances de reformulation en écho</w:t>
      </w:r>
    </w:p>
    <w:p w:rsidR="00000000" w:rsidDel="00000000" w:rsidP="00000000" w:rsidRDefault="00000000" w:rsidRPr="00000000" w14:paraId="00000012">
      <w:pPr>
        <w:widowControl w:val="0"/>
        <w:spacing w:after="24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24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24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240" w:lineRule="auto"/>
        <w:jc w:val="both"/>
        <w:rPr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240" w:lineRule="auto"/>
        <w:jc w:val="center"/>
        <w:rPr>
          <w:b w:val="1"/>
          <w:color w:val="595959"/>
          <w:sz w:val="34"/>
          <w:szCs w:val="34"/>
        </w:rPr>
      </w:pPr>
      <w:r w:rsidDel="00000000" w:rsidR="00000000" w:rsidRPr="00000000">
        <w:rPr>
          <w:b w:val="1"/>
          <w:color w:val="595959"/>
          <w:sz w:val="34"/>
          <w:szCs w:val="34"/>
          <w:rtl w:val="0"/>
        </w:rPr>
        <w:t xml:space="preserve">Les satellites de l’action</w:t>
      </w:r>
    </w:p>
    <w:p w:rsidR="00000000" w:rsidDel="00000000" w:rsidP="00000000" w:rsidRDefault="00000000" w:rsidRPr="00000000" w14:paraId="00000017">
      <w:pPr>
        <w:widowControl w:val="0"/>
        <w:spacing w:after="240" w:lineRule="auto"/>
        <w:jc w:val="both"/>
        <w:rPr>
          <w:sz w:val="22"/>
          <w:szCs w:val="22"/>
        </w:rPr>
      </w:pPr>
      <w:r w:rsidDel="00000000" w:rsidR="00000000" w:rsidRPr="00000000">
        <w:rPr>
          <w:sz w:val="28"/>
          <w:szCs w:val="28"/>
        </w:rPr>
        <w:drawing>
          <wp:inline distB="19050" distT="19050" distL="19050" distR="19050">
            <wp:extent cx="5562600" cy="232153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15955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23215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240" w:line="48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Les catégories de relance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after="0" w:afterAutospacing="0" w:line="4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encourager </w:t>
      </w:r>
      <w:r w:rsidDel="00000000" w:rsidR="00000000" w:rsidRPr="00000000">
        <w:rPr>
          <w:sz w:val="22"/>
          <w:szCs w:val="22"/>
          <w:rtl w:val="0"/>
        </w:rPr>
        <w:t xml:space="preserve">la verbalisation (se taire, agréer y compris par du non verbal)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after="0" w:afterAutospacing="0" w:line="4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focaliser </w:t>
      </w:r>
      <w:r w:rsidDel="00000000" w:rsidR="00000000" w:rsidRPr="00000000">
        <w:rPr>
          <w:sz w:val="22"/>
          <w:szCs w:val="22"/>
          <w:rtl w:val="0"/>
        </w:rPr>
        <w:t xml:space="preserve">(revenir sur une information, proposer un thème, ouvrir le choix)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2"/>
        </w:numPr>
        <w:spacing w:after="0" w:afterAutospacing="0" w:line="4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élucider </w:t>
      </w:r>
      <w:r w:rsidDel="00000000" w:rsidR="00000000" w:rsidRPr="00000000">
        <w:rPr>
          <w:sz w:val="22"/>
          <w:szCs w:val="22"/>
          <w:rtl w:val="0"/>
        </w:rPr>
        <w:t xml:space="preserve">(déplier les informations et passer à une description plus fine, guider vers la verbalisation d’un aspect absent) 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3"/>
        </w:numPr>
        <w:spacing w:after="240" w:line="4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réguler </w:t>
      </w:r>
      <w:r w:rsidDel="00000000" w:rsidR="00000000" w:rsidRPr="00000000">
        <w:rPr>
          <w:sz w:val="22"/>
          <w:szCs w:val="22"/>
          <w:rtl w:val="0"/>
        </w:rPr>
        <w:t xml:space="preserve">(problème dans le recueil d’information : rappel du cadre et du contrat de communication, vérifier qu’il n’y a pas de difficulté liée à l’évocation)</w:t>
      </w:r>
    </w:p>
    <w:p w:rsidR="00000000" w:rsidDel="00000000" w:rsidP="00000000" w:rsidRDefault="00000000" w:rsidRPr="00000000" w14:paraId="0000001D">
      <w:pPr>
        <w:widowControl w:val="0"/>
        <w:spacing w:after="24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24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bottom w:color="000000" w:space="1" w:sz="4" w:val="single"/>
      </w:pBdr>
      <w:spacing w:after="120" w:before="240" w:lineRule="auto"/>
      <w:ind w:left="0" w:firstLine="0"/>
    </w:pPr>
    <w:rPr>
      <w:rFonts w:ascii="Arial" w:cs="Arial" w:eastAsia="Arial" w:hAnsi="Arial"/>
      <w:b w:val="0"/>
      <w:color w:val="5983b0"/>
      <w:sz w:val="28"/>
      <w:szCs w:val="28"/>
      <w:u w:val="none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  <w:ind w:left="0" w:firstLine="0"/>
    </w:pPr>
    <w:rPr>
      <w:rFonts w:ascii="Arial" w:cs="Arial" w:eastAsia="Arial" w:hAnsi="Arial"/>
      <w:b w:val="0"/>
      <w:color w:val="5983b0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pBdr>
        <w:top w:color="000000" w:space="1" w:sz="4" w:val="single"/>
        <w:left w:color="000000" w:space="1" w:sz="4" w:val="single"/>
        <w:bottom w:color="000000" w:space="1" w:sz="4" w:val="single"/>
        <w:right w:color="000000" w:space="1" w:sz="4" w:val="single"/>
      </w:pBdr>
      <w:spacing w:after="120" w:before="240" w:lineRule="auto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