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38"/>
          <w:szCs w:val="38"/>
          <w:u w:val="single"/>
          <w:rtl w:val="0"/>
        </w:rPr>
        <w:t xml:space="preserve">Les formes de reformulation</w:t>
      </w: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rtl w:val="0"/>
        </w:rPr>
      </w:r>
    </w:p>
    <w:tbl>
      <w:tblPr>
        <w:tblStyle w:val="Table1"/>
        <w:tblW w:w="1363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935"/>
        <w:gridCol w:w="5070"/>
        <w:gridCol w:w="6630"/>
        <w:tblGridChange w:id="0">
          <w:tblGrid>
            <w:gridCol w:w="1935"/>
            <w:gridCol w:w="5070"/>
            <w:gridCol w:w="6630"/>
          </w:tblGrid>
        </w:tblGridChange>
      </w:tblGrid>
      <w:tr>
        <w:trPr>
          <w:cantSplit w:val="0"/>
          <w:trHeight w:val="1080" w:hRule="atLeast"/>
          <w:tblHeader w:val="0"/>
        </w:trPr>
        <w:tc>
          <w:tcPr>
            <w:tcMar>
              <w:top w:w="140.0" w:type="dxa"/>
              <w:left w:w="140.0" w:type="dxa"/>
              <w:bottom w:w="140.0" w:type="dxa"/>
              <w:right w:w="140.0" w:type="dxa"/>
            </w:tcMar>
            <w:vAlign w:val="top"/>
          </w:tcPr>
          <w:p w:rsidR="00000000" w:rsidDel="00000000" w:rsidP="00000000" w:rsidRDefault="00000000" w:rsidRPr="00000000" w14:paraId="00000003">
            <w:pPr>
              <w:widowControl w:val="0"/>
              <w:spacing w:after="0" w:before="0" w:line="240" w:lineRule="auto"/>
              <w:rPr>
                <w:sz w:val="20"/>
                <w:szCs w:val="20"/>
              </w:rPr>
            </w:pPr>
            <w:r w:rsidDel="00000000" w:rsidR="00000000" w:rsidRPr="00000000">
              <w:rPr>
                <w:b w:val="1"/>
                <w:sz w:val="20"/>
                <w:szCs w:val="20"/>
                <w:rtl w:val="0"/>
              </w:rPr>
              <w:t xml:space="preserve">reflet / miroir</w:t>
            </w:r>
            <w:r w:rsidDel="00000000" w:rsidR="00000000" w:rsidRPr="00000000">
              <w:rPr>
                <w:rtl w:val="0"/>
              </w:rPr>
            </w:r>
          </w:p>
        </w:tc>
        <w:tc>
          <w:tcPr>
            <w:tcMar>
              <w:top w:w="140.0" w:type="dxa"/>
              <w:left w:w="140.0" w:type="dxa"/>
              <w:bottom w:w="140.0" w:type="dxa"/>
              <w:right w:w="140.0" w:type="dxa"/>
            </w:tcMar>
            <w:vAlign w:val="top"/>
          </w:tcPr>
          <w:p w:rsidR="00000000" w:rsidDel="00000000" w:rsidP="00000000" w:rsidRDefault="00000000" w:rsidRPr="00000000" w14:paraId="00000004">
            <w:pPr>
              <w:widowControl w:val="0"/>
              <w:spacing w:after="0" w:before="0" w:line="240" w:lineRule="auto"/>
              <w:rPr>
                <w:sz w:val="20"/>
                <w:szCs w:val="20"/>
              </w:rPr>
            </w:pPr>
            <w:r w:rsidDel="00000000" w:rsidR="00000000" w:rsidRPr="00000000">
              <w:rPr>
                <w:sz w:val="20"/>
                <w:szCs w:val="20"/>
                <w:rtl w:val="0"/>
              </w:rPr>
              <w:t xml:space="preserve">paraphraser ou refléter le message que le sujet vient d’émettre, montrant ainsi un effort de compréhension.</w:t>
            </w:r>
          </w:p>
        </w:tc>
        <w:tc>
          <w:tcPr>
            <w:tcMar>
              <w:top w:w="140.0" w:type="dxa"/>
              <w:left w:w="140.0" w:type="dxa"/>
              <w:bottom w:w="140.0" w:type="dxa"/>
              <w:right w:w="140.0" w:type="dxa"/>
            </w:tcMar>
            <w:vAlign w:val="top"/>
          </w:tcPr>
          <w:p w:rsidR="00000000" w:rsidDel="00000000" w:rsidP="00000000" w:rsidRDefault="00000000" w:rsidRPr="00000000" w14:paraId="00000005">
            <w:pPr>
              <w:widowControl w:val="0"/>
              <w:spacing w:after="0" w:before="0" w:line="240" w:lineRule="auto"/>
              <w:rPr>
                <w:sz w:val="20"/>
                <w:szCs w:val="20"/>
              </w:rPr>
            </w:pPr>
            <w:r w:rsidDel="00000000" w:rsidR="00000000" w:rsidRPr="00000000">
              <w:rPr>
                <w:sz w:val="20"/>
                <w:szCs w:val="20"/>
                <w:rtl w:val="0"/>
              </w:rPr>
              <w:t xml:space="preserve">Ainsi, selon vous... ; Vous voulez dire que... ; à votre avis, donc ... ; en d’autres termes. </w:t>
            </w:r>
          </w:p>
        </w:tc>
      </w:tr>
      <w:tr>
        <w:trPr>
          <w:cantSplit w:val="0"/>
          <w:trHeight w:val="1000" w:hRule="atLeast"/>
          <w:tblHeader w:val="0"/>
        </w:trPr>
        <w:tc>
          <w:tcPr>
            <w:tcMar>
              <w:top w:w="140.0" w:type="dxa"/>
              <w:left w:w="140.0" w:type="dxa"/>
              <w:bottom w:w="140.0" w:type="dxa"/>
              <w:right w:w="140.0" w:type="dxa"/>
            </w:tcMar>
            <w:vAlign w:val="top"/>
          </w:tcPr>
          <w:p w:rsidR="00000000" w:rsidDel="00000000" w:rsidP="00000000" w:rsidRDefault="00000000" w:rsidRPr="00000000" w14:paraId="00000006">
            <w:pPr>
              <w:widowControl w:val="0"/>
              <w:spacing w:after="0" w:before="0" w:line="240" w:lineRule="auto"/>
              <w:rPr>
                <w:sz w:val="20"/>
                <w:szCs w:val="20"/>
              </w:rPr>
            </w:pPr>
            <w:r w:rsidDel="00000000" w:rsidR="00000000" w:rsidRPr="00000000">
              <w:rPr>
                <w:b w:val="1"/>
                <w:sz w:val="20"/>
                <w:szCs w:val="20"/>
                <w:rtl w:val="0"/>
              </w:rPr>
              <w:t xml:space="preserve">résumé</w:t>
            </w:r>
            <w:r w:rsidDel="00000000" w:rsidR="00000000" w:rsidRPr="00000000">
              <w:rPr>
                <w:rtl w:val="0"/>
              </w:rPr>
            </w:r>
          </w:p>
        </w:tc>
        <w:tc>
          <w:tcPr>
            <w:tcMar>
              <w:top w:w="140.0" w:type="dxa"/>
              <w:left w:w="140.0" w:type="dxa"/>
              <w:bottom w:w="140.0" w:type="dxa"/>
              <w:right w:w="140.0" w:type="dxa"/>
            </w:tcMar>
            <w:vAlign w:val="top"/>
          </w:tcPr>
          <w:p w:rsidR="00000000" w:rsidDel="00000000" w:rsidP="00000000" w:rsidRDefault="00000000" w:rsidRPr="00000000" w14:paraId="00000007">
            <w:pPr>
              <w:widowControl w:val="0"/>
              <w:spacing w:after="0" w:before="0" w:line="240" w:lineRule="auto"/>
              <w:rPr>
                <w:sz w:val="20"/>
                <w:szCs w:val="20"/>
              </w:rPr>
            </w:pPr>
            <w:r w:rsidDel="00000000" w:rsidR="00000000" w:rsidRPr="00000000">
              <w:rPr>
                <w:sz w:val="20"/>
                <w:szCs w:val="20"/>
                <w:rtl w:val="0"/>
              </w:rPr>
              <w:t xml:space="preserve">Elle vise à relever les éléments saillants, ce qui suppose que l’on a saisi l’essentiel de ce que le sujet voulait dire. Il est capital d’opérer cette reformulation à partir de ce qui est fondamental pour le sujet lui-même.</w:t>
            </w:r>
          </w:p>
        </w:tc>
        <w:tc>
          <w:tcPr>
            <w:tcMar>
              <w:top w:w="140.0" w:type="dxa"/>
              <w:left w:w="140.0" w:type="dxa"/>
              <w:bottom w:w="140.0" w:type="dxa"/>
              <w:right w:w="140.0" w:type="dxa"/>
            </w:tcMar>
            <w:vAlign w:val="top"/>
          </w:tcPr>
          <w:p w:rsidR="00000000" w:rsidDel="00000000" w:rsidP="00000000" w:rsidRDefault="00000000" w:rsidRPr="00000000" w14:paraId="00000008">
            <w:pPr>
              <w:widowControl w:val="0"/>
              <w:spacing w:after="0" w:before="0" w:line="240" w:lineRule="auto"/>
              <w:rPr>
                <w:sz w:val="20"/>
                <w:szCs w:val="20"/>
              </w:rPr>
            </w:pPr>
            <w:r w:rsidDel="00000000" w:rsidR="00000000" w:rsidRPr="00000000">
              <w:rPr>
                <w:sz w:val="20"/>
                <w:szCs w:val="20"/>
                <w:rtl w:val="0"/>
              </w:rPr>
              <w:t xml:space="preserve">Si je comprends bien, il y a eu plusieurs phases : D’abord...... Puis, ...... Et enfin ...... </w:t>
            </w:r>
          </w:p>
        </w:tc>
      </w:tr>
      <w:tr>
        <w:trPr>
          <w:cantSplit w:val="0"/>
          <w:trHeight w:val="1940" w:hRule="atLeast"/>
          <w:tblHeader w:val="0"/>
        </w:trPr>
        <w:tc>
          <w:tcPr>
            <w:tcMar>
              <w:top w:w="140.0" w:type="dxa"/>
              <w:left w:w="140.0" w:type="dxa"/>
              <w:bottom w:w="140.0" w:type="dxa"/>
              <w:right w:w="140.0" w:type="dxa"/>
            </w:tcMar>
            <w:vAlign w:val="top"/>
          </w:tcPr>
          <w:p w:rsidR="00000000" w:rsidDel="00000000" w:rsidP="00000000" w:rsidRDefault="00000000" w:rsidRPr="00000000" w14:paraId="00000009">
            <w:pPr>
              <w:widowControl w:val="0"/>
              <w:spacing w:after="0" w:before="0" w:line="240" w:lineRule="auto"/>
              <w:rPr>
                <w:b w:val="1"/>
                <w:sz w:val="20"/>
                <w:szCs w:val="20"/>
              </w:rPr>
            </w:pPr>
            <w:r w:rsidDel="00000000" w:rsidR="00000000" w:rsidRPr="00000000">
              <w:rPr>
                <w:b w:val="1"/>
                <w:sz w:val="20"/>
                <w:szCs w:val="20"/>
                <w:rtl w:val="0"/>
              </w:rPr>
              <w:t xml:space="preserve">Recadrage</w:t>
            </w:r>
          </w:p>
        </w:tc>
        <w:tc>
          <w:tcPr>
            <w:tcMar>
              <w:top w:w="140.0" w:type="dxa"/>
              <w:left w:w="140.0" w:type="dxa"/>
              <w:bottom w:w="140.0" w:type="dxa"/>
              <w:right w:w="140.0" w:type="dxa"/>
            </w:tcMar>
            <w:vAlign w:val="top"/>
          </w:tcPr>
          <w:p w:rsidR="00000000" w:rsidDel="00000000" w:rsidP="00000000" w:rsidRDefault="00000000" w:rsidRPr="00000000" w14:paraId="0000000A">
            <w:pPr>
              <w:widowControl w:val="0"/>
              <w:spacing w:after="0" w:before="0" w:line="240" w:lineRule="auto"/>
              <w:rPr>
                <w:sz w:val="20"/>
                <w:szCs w:val="20"/>
              </w:rPr>
            </w:pPr>
            <w:r w:rsidDel="00000000" w:rsidR="00000000" w:rsidRPr="00000000">
              <w:rPr>
                <w:sz w:val="20"/>
                <w:szCs w:val="20"/>
                <w:rtl w:val="0"/>
              </w:rPr>
              <w:t xml:space="preserve">c’est la reformulation basée sur le renversement du rapport figure-fond. Il s’agit de reformuler en montrant un autre versant de ce qui est dit. Il permet par exemple de dédramatiser une situation douloureuse ou pénible. Ainsi, le recadrage peut offrir à l’accompagnant la possibilité d’apporter du soutien à l’autre.</w:t>
            </w:r>
          </w:p>
        </w:tc>
        <w:tc>
          <w:tcPr>
            <w:tcMar>
              <w:top w:w="140.0" w:type="dxa"/>
              <w:left w:w="140.0" w:type="dxa"/>
              <w:bottom w:w="140.0" w:type="dxa"/>
              <w:right w:w="140.0" w:type="dxa"/>
            </w:tcMar>
            <w:vAlign w:val="top"/>
          </w:tcPr>
          <w:p w:rsidR="00000000" w:rsidDel="00000000" w:rsidP="00000000" w:rsidRDefault="00000000" w:rsidRPr="00000000" w14:paraId="0000000B">
            <w:pPr>
              <w:widowControl w:val="0"/>
              <w:spacing w:after="0" w:before="0" w:line="240" w:lineRule="auto"/>
              <w:rPr>
                <w:sz w:val="20"/>
                <w:szCs w:val="20"/>
              </w:rPr>
            </w:pPr>
            <w:r w:rsidDel="00000000" w:rsidR="00000000" w:rsidRPr="00000000">
              <w:rPr>
                <w:sz w:val="20"/>
                <w:szCs w:val="20"/>
                <w:rtl w:val="0"/>
              </w:rPr>
              <w:t xml:space="preserve">« J’entends bien que tu penses avoir raté ton entretien, que tu notes des erreurs de posture et que cela ne te convienne pas. C’est d’ailleurs ce que vivent régulièrement les personnes exigeantes, sérieuses et qui sont capables de se remettre en question. »</w:t>
            </w:r>
          </w:p>
        </w:tc>
      </w:tr>
      <w:tr>
        <w:trPr>
          <w:cantSplit w:val="0"/>
          <w:trHeight w:val="1760" w:hRule="atLeast"/>
          <w:tblHeader w:val="0"/>
        </w:trPr>
        <w:tc>
          <w:tcPr>
            <w:tcMar>
              <w:top w:w="140.0" w:type="dxa"/>
              <w:left w:w="140.0" w:type="dxa"/>
              <w:bottom w:w="140.0" w:type="dxa"/>
              <w:right w:w="140.0" w:type="dxa"/>
            </w:tcMar>
            <w:vAlign w:val="top"/>
          </w:tcPr>
          <w:p w:rsidR="00000000" w:rsidDel="00000000" w:rsidP="00000000" w:rsidRDefault="00000000" w:rsidRPr="00000000" w14:paraId="0000000C">
            <w:pPr>
              <w:widowControl w:val="0"/>
              <w:spacing w:after="0" w:before="0" w:line="240" w:lineRule="auto"/>
              <w:rPr>
                <w:b w:val="1"/>
                <w:sz w:val="20"/>
                <w:szCs w:val="20"/>
              </w:rPr>
            </w:pPr>
            <w:r w:rsidDel="00000000" w:rsidR="00000000" w:rsidRPr="00000000">
              <w:rPr>
                <w:b w:val="1"/>
                <w:sz w:val="20"/>
                <w:szCs w:val="20"/>
                <w:rtl w:val="0"/>
              </w:rPr>
              <w:t xml:space="preserve">Clarification</w:t>
            </w:r>
          </w:p>
        </w:tc>
        <w:tc>
          <w:tcPr>
            <w:tcMar>
              <w:top w:w="140.0" w:type="dxa"/>
              <w:left w:w="140.0" w:type="dxa"/>
              <w:bottom w:w="140.0" w:type="dxa"/>
              <w:right w:w="140.0" w:type="dxa"/>
            </w:tcMar>
            <w:vAlign w:val="top"/>
          </w:tcPr>
          <w:p w:rsidR="00000000" w:rsidDel="00000000" w:rsidP="00000000" w:rsidRDefault="00000000" w:rsidRPr="00000000" w14:paraId="0000000D">
            <w:pPr>
              <w:widowControl w:val="0"/>
              <w:spacing w:after="0" w:before="0" w:line="240" w:lineRule="auto"/>
              <w:rPr>
                <w:sz w:val="20"/>
                <w:szCs w:val="20"/>
              </w:rPr>
            </w:pPr>
            <w:r w:rsidDel="00000000" w:rsidR="00000000" w:rsidRPr="00000000">
              <w:rPr>
                <w:sz w:val="20"/>
                <w:szCs w:val="20"/>
                <w:rtl w:val="0"/>
              </w:rPr>
              <w:t xml:space="preserve">Le récit du sujet est l’expression directe de ce qu’il éprouve, avec ce que cela a de tâtonnant, d’inorganisé et de confus. Cette reformulation consiste à mettre en lumière le sens caché du message. Le risque d’interprétation est grand, parfois inévitable, et l’erreur d’analyse demeure possible. Aussi, la clarification devra être formulée avec précaution, sous la forme d’une proposition.</w:t>
            </w:r>
          </w:p>
        </w:tc>
        <w:tc>
          <w:tcPr>
            <w:tcMar>
              <w:top w:w="140.0" w:type="dxa"/>
              <w:left w:w="140.0" w:type="dxa"/>
              <w:bottom w:w="140.0" w:type="dxa"/>
              <w:right w:w="140.0" w:type="dxa"/>
            </w:tcMar>
            <w:vAlign w:val="top"/>
          </w:tcPr>
          <w:p w:rsidR="00000000" w:rsidDel="00000000" w:rsidP="00000000" w:rsidRDefault="00000000" w:rsidRPr="00000000" w14:paraId="0000000E">
            <w:pPr>
              <w:widowControl w:val="0"/>
              <w:spacing w:after="0" w:before="0" w:line="240" w:lineRule="auto"/>
              <w:rPr>
                <w:sz w:val="20"/>
                <w:szCs w:val="20"/>
              </w:rPr>
            </w:pPr>
            <w:r w:rsidDel="00000000" w:rsidR="00000000" w:rsidRPr="00000000">
              <w:rPr>
                <w:sz w:val="20"/>
                <w:szCs w:val="20"/>
                <w:rtl w:val="0"/>
              </w:rPr>
              <w:t xml:space="preserve"> «Quand tu dis que tu en as marre de «ça» et que tu comptes «réagir», je crois comprendre de mon côté que tu ne supportes plus son attitude, que je perçois comme condescendante lorsque tu en parles, et que tu as dans l’idée de le lui dire. C’est bien cela ? »</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widowControl w:val="0"/>
        <w:jc w:val="center"/>
        <w:rPr>
          <w:b w:val="1"/>
          <w:sz w:val="38"/>
          <w:szCs w:val="38"/>
        </w:rPr>
      </w:pPr>
      <w:r w:rsidDel="00000000" w:rsidR="00000000" w:rsidRPr="00000000">
        <w:br w:type="page"/>
      </w:r>
      <w:r w:rsidDel="00000000" w:rsidR="00000000" w:rsidRPr="00000000">
        <w:rPr>
          <w:rtl w:val="0"/>
        </w:rPr>
      </w:r>
    </w:p>
    <w:p w:rsidR="00000000" w:rsidDel="00000000" w:rsidP="00000000" w:rsidRDefault="00000000" w:rsidRPr="00000000" w14:paraId="00000011">
      <w:pPr>
        <w:widowControl w:val="0"/>
        <w:jc w:val="center"/>
        <w:rPr>
          <w:b w:val="1"/>
          <w:sz w:val="38"/>
          <w:szCs w:val="38"/>
          <w:u w:val="single"/>
        </w:rPr>
      </w:pPr>
      <w:r w:rsidDel="00000000" w:rsidR="00000000" w:rsidRPr="00000000">
        <w:rPr>
          <w:b w:val="1"/>
          <w:sz w:val="38"/>
          <w:szCs w:val="38"/>
          <w:u w:val="single"/>
          <w:rtl w:val="0"/>
        </w:rPr>
        <w:t xml:space="preserve">Les différents types de questions </w:t>
      </w:r>
    </w:p>
    <w:p w:rsidR="00000000" w:rsidDel="00000000" w:rsidP="00000000" w:rsidRDefault="00000000" w:rsidRPr="00000000" w14:paraId="00000012">
      <w:pPr>
        <w:widowControl w:val="0"/>
        <w:rPr/>
      </w:pPr>
      <w:r w:rsidDel="00000000" w:rsidR="00000000" w:rsidRPr="00000000">
        <w:rPr>
          <w:rtl w:val="0"/>
        </w:rPr>
      </w:r>
    </w:p>
    <w:tbl>
      <w:tblPr>
        <w:tblStyle w:val="Table2"/>
        <w:tblW w:w="1350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440"/>
        <w:gridCol w:w="11060"/>
        <w:tblGridChange w:id="0">
          <w:tblGrid>
            <w:gridCol w:w="2440"/>
            <w:gridCol w:w="11060"/>
          </w:tblGrid>
        </w:tblGridChange>
      </w:tblGrid>
      <w:tr>
        <w:trPr>
          <w:cantSplit w:val="0"/>
          <w:trHeight w:val="1420" w:hRule="atLeast"/>
          <w:tblHeader w:val="0"/>
        </w:trPr>
        <w:tc>
          <w:tcPr>
            <w:tcMar>
              <w:top w:w="140.0" w:type="dxa"/>
              <w:left w:w="140.0" w:type="dxa"/>
              <w:bottom w:w="140.0" w:type="dxa"/>
              <w:right w:w="140.0" w:type="dxa"/>
            </w:tcMar>
            <w:vAlign w:val="top"/>
          </w:tcPr>
          <w:p w:rsidR="00000000" w:rsidDel="00000000" w:rsidP="00000000" w:rsidRDefault="00000000" w:rsidRPr="00000000" w14:paraId="00000013">
            <w:pPr>
              <w:widowControl w:val="0"/>
              <w:spacing w:after="0" w:before="0" w:line="240" w:lineRule="auto"/>
              <w:rPr/>
            </w:pPr>
            <w:r w:rsidDel="00000000" w:rsidR="00000000" w:rsidRPr="00000000">
              <w:rPr>
                <w:b w:val="1"/>
                <w:rtl w:val="0"/>
              </w:rPr>
              <w:t xml:space="preserve">Ouvert</w:t>
            </w:r>
            <w:r w:rsidDel="00000000" w:rsidR="00000000" w:rsidRPr="00000000">
              <w:rPr>
                <w:rtl w:val="0"/>
              </w:rPr>
            </w:r>
          </w:p>
        </w:tc>
        <w:tc>
          <w:tcPr>
            <w:tcMar>
              <w:top w:w="140.0" w:type="dxa"/>
              <w:left w:w="140.0" w:type="dxa"/>
              <w:bottom w:w="140.0" w:type="dxa"/>
              <w:right w:w="140.0" w:type="dxa"/>
            </w:tcMar>
            <w:vAlign w:val="top"/>
          </w:tcPr>
          <w:p w:rsidR="00000000" w:rsidDel="00000000" w:rsidP="00000000" w:rsidRDefault="00000000" w:rsidRPr="00000000" w14:paraId="00000014">
            <w:pPr>
              <w:widowControl w:val="0"/>
              <w:spacing w:after="0" w:before="0" w:line="240" w:lineRule="auto"/>
              <w:rPr/>
            </w:pPr>
            <w:r w:rsidDel="00000000" w:rsidR="00000000" w:rsidRPr="00000000">
              <w:rPr>
                <w:rtl w:val="0"/>
              </w:rPr>
              <w:t xml:space="preserve">Aller vers la précision, d’avoir une perception et un regard exhaustifs sur sa réalité subjective. </w:t>
            </w:r>
          </w:p>
          <w:p w:rsidR="00000000" w:rsidDel="00000000" w:rsidP="00000000" w:rsidRDefault="00000000" w:rsidRPr="00000000" w14:paraId="00000015">
            <w:pPr>
              <w:widowControl w:val="0"/>
              <w:spacing w:after="0" w:before="0" w:line="240" w:lineRule="auto"/>
              <w:rPr/>
            </w:pPr>
            <w:r w:rsidDel="00000000" w:rsidR="00000000" w:rsidRPr="00000000">
              <w:rPr>
                <w:rtl w:val="0"/>
              </w:rPr>
              <w:t xml:space="preserve">« qu’est-ce qui t’as motivé, encouragé, décidé, obligé à faire cela ? »</w:t>
            </w:r>
          </w:p>
        </w:tc>
      </w:tr>
      <w:tr>
        <w:trPr>
          <w:cantSplit w:val="0"/>
          <w:trHeight w:val="1540" w:hRule="atLeast"/>
          <w:tblHeader w:val="0"/>
        </w:trPr>
        <w:tc>
          <w:tcPr>
            <w:tcMar>
              <w:top w:w="140.0" w:type="dxa"/>
              <w:left w:w="140.0" w:type="dxa"/>
              <w:bottom w:w="140.0" w:type="dxa"/>
              <w:right w:w="140.0" w:type="dxa"/>
            </w:tcMar>
            <w:vAlign w:val="top"/>
          </w:tcPr>
          <w:p w:rsidR="00000000" w:rsidDel="00000000" w:rsidP="00000000" w:rsidRDefault="00000000" w:rsidRPr="00000000" w14:paraId="00000016">
            <w:pPr>
              <w:widowControl w:val="0"/>
              <w:spacing w:after="0" w:before="0" w:line="240" w:lineRule="auto"/>
              <w:rPr/>
            </w:pPr>
            <w:r w:rsidDel="00000000" w:rsidR="00000000" w:rsidRPr="00000000">
              <w:rPr>
                <w:b w:val="1"/>
                <w:rtl w:val="0"/>
              </w:rPr>
              <w:t xml:space="preserve">Fermé</w:t>
            </w:r>
            <w:r w:rsidDel="00000000" w:rsidR="00000000" w:rsidRPr="00000000">
              <w:rPr>
                <w:rtl w:val="0"/>
              </w:rPr>
            </w:r>
          </w:p>
        </w:tc>
        <w:tc>
          <w:tcPr>
            <w:tcMar>
              <w:top w:w="140.0" w:type="dxa"/>
              <w:left w:w="140.0" w:type="dxa"/>
              <w:bottom w:w="140.0" w:type="dxa"/>
              <w:right w:w="140.0" w:type="dxa"/>
            </w:tcMar>
            <w:vAlign w:val="top"/>
          </w:tcPr>
          <w:p w:rsidR="00000000" w:rsidDel="00000000" w:rsidP="00000000" w:rsidRDefault="00000000" w:rsidRPr="00000000" w14:paraId="00000017">
            <w:pPr>
              <w:widowControl w:val="0"/>
              <w:spacing w:after="0" w:before="0" w:line="240" w:lineRule="auto"/>
              <w:rPr/>
            </w:pPr>
            <w:r w:rsidDel="00000000" w:rsidR="00000000" w:rsidRPr="00000000">
              <w:rPr>
                <w:rtl w:val="0"/>
              </w:rPr>
              <w:t xml:space="preserve">Sert un processus de vérification (« c’est à ce moment-là que tu as eu peur ? »), de clarification (« tu veux dire que tu as eu peur ? ») ou encore d’investigation (« et alors quand tu as fait cela, tu as ressenti un soulagement ? »).</w:t>
            </w:r>
          </w:p>
        </w:tc>
      </w:tr>
      <w:tr>
        <w:trPr>
          <w:cantSplit w:val="0"/>
          <w:trHeight w:val="880" w:hRule="atLeast"/>
          <w:tblHeader w:val="0"/>
        </w:trPr>
        <w:tc>
          <w:tcPr>
            <w:tcMar>
              <w:top w:w="140.0" w:type="dxa"/>
              <w:left w:w="140.0" w:type="dxa"/>
              <w:bottom w:w="140.0" w:type="dxa"/>
              <w:right w:w="140.0" w:type="dxa"/>
            </w:tcMar>
            <w:vAlign w:val="top"/>
          </w:tcPr>
          <w:p w:rsidR="00000000" w:rsidDel="00000000" w:rsidP="00000000" w:rsidRDefault="00000000" w:rsidRPr="00000000" w14:paraId="00000018">
            <w:pPr>
              <w:widowControl w:val="0"/>
              <w:spacing w:after="0" w:before="0" w:line="240" w:lineRule="auto"/>
              <w:rPr>
                <w:b w:val="1"/>
              </w:rPr>
            </w:pPr>
            <w:r w:rsidDel="00000000" w:rsidR="00000000" w:rsidRPr="00000000">
              <w:rPr>
                <w:b w:val="1"/>
                <w:rtl w:val="0"/>
              </w:rPr>
              <w:t xml:space="preserve">Relais</w:t>
            </w:r>
          </w:p>
        </w:tc>
        <w:tc>
          <w:tcPr>
            <w:tcMar>
              <w:top w:w="140.0" w:type="dxa"/>
              <w:left w:w="140.0" w:type="dxa"/>
              <w:bottom w:w="140.0" w:type="dxa"/>
              <w:right w:w="140.0" w:type="dxa"/>
            </w:tcMar>
            <w:vAlign w:val="top"/>
          </w:tcPr>
          <w:p w:rsidR="00000000" w:rsidDel="00000000" w:rsidP="00000000" w:rsidRDefault="00000000" w:rsidRPr="00000000" w14:paraId="00000019">
            <w:pPr>
              <w:widowControl w:val="0"/>
              <w:spacing w:after="0" w:before="0" w:line="240" w:lineRule="auto"/>
              <w:rPr/>
            </w:pPr>
            <w:r w:rsidDel="00000000" w:rsidR="00000000" w:rsidRPr="00000000">
              <w:rPr>
                <w:rtl w:val="0"/>
              </w:rPr>
              <w:t xml:space="preserve">Servent à inviter la personne à développer davantage, à aller au bout de son raisonnement (« Et puis ? » « Mais encore ? » « Par exemple ? » « Et alors ? »).</w:t>
            </w:r>
          </w:p>
        </w:tc>
      </w:tr>
    </w:tbl>
    <w:p w:rsidR="00000000" w:rsidDel="00000000" w:rsidP="00000000" w:rsidRDefault="00000000" w:rsidRPr="00000000" w14:paraId="0000001A">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